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17086B" w14:textId="6D99E8A5" w:rsidR="00C17748" w:rsidRDefault="001027CF" w:rsidP="001027CF">
      <w:pPr>
        <w:pStyle w:val="Pagedecouverture"/>
        <w:rPr>
          <w:noProof/>
        </w:rPr>
      </w:pPr>
      <w:bookmarkStart w:id="0" w:name="LW_BM_COVERPAGE"/>
      <w:r>
        <w:rPr>
          <w:noProof/>
        </w:rPr>
        <w:pict w14:anchorId="619E15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30E7E3E-876E-4085-A294-C766B54DBD71" style="width:455.25pt;height:375pt">
            <v:imagedata r:id="rId7" o:title=""/>
          </v:shape>
        </w:pict>
      </w:r>
    </w:p>
    <w:bookmarkEnd w:id="0"/>
    <w:p w14:paraId="6B74204A" w14:textId="77777777" w:rsidR="00C17748" w:rsidRDefault="00C17748" w:rsidP="00C17748">
      <w:pPr>
        <w:rPr>
          <w:noProof/>
        </w:rPr>
        <w:sectPr w:rsidR="00C17748" w:rsidSect="001027CF">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5AB4E888" w14:textId="77777777" w:rsidR="00275512" w:rsidRDefault="00275512" w:rsidP="00275512">
      <w:pPr>
        <w:spacing w:after="240" w:line="240" w:lineRule="auto"/>
        <w:jc w:val="both"/>
        <w:rPr>
          <w:rFonts w:ascii="Times New Roman" w:hAnsi="Times New Roman" w:cs="Times New Roman"/>
          <w:noProof/>
          <w:sz w:val="24"/>
          <w:szCs w:val="24"/>
        </w:rPr>
      </w:pPr>
      <w:bookmarkStart w:id="1" w:name="_GoBack"/>
      <w:bookmarkEnd w:id="1"/>
      <w:r>
        <w:rPr>
          <w:rFonts w:ascii="Times New Roman" w:hAnsi="Times New Roman"/>
          <w:noProof/>
          <w:sz w:val="24"/>
        </w:rPr>
        <w:lastRenderedPageBreak/>
        <w:t>Rapoartele Letta și Draghi au analizat în 2024 situația actuală a sectorului comunicațiilor electronice din UE. Ambele rapoarte au subliniat că piața unică a comunicațiilor electronice rămâne fragmentată, iar operatorii europeni continuă să se confrunte cu obstacole în calea desfășurării de activități transfrontaliere și a extinderii, ceea ce le limitează capacitatea de a investi, de a inova și de a concura cu omologii lor de la nivel mondial. Ambele rapoarte au subliniat importanța investițiilor în rețelele viitoare pentru consolidarea competitivității economiei UE și a coeziunii societății UE. În plus, raportul Niinistö, publicat în același an, a subliniat importanța comunicațiilor electronice, inclusiv a serviciilor prin satelit, a comunicațiilor critice și a serviciilor digitale în contextul securității, rezilienței și pregătirii.</w:t>
      </w:r>
    </w:p>
    <w:p w14:paraId="69499DD8" w14:textId="77777777" w:rsidR="00275512" w:rsidRPr="007F059F" w:rsidRDefault="00275512" w:rsidP="00275512">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Raportul de evaluare</w:t>
      </w:r>
      <w:r>
        <w:rPr>
          <w:rFonts w:ascii="Times New Roman" w:hAnsi="Times New Roman"/>
          <w:noProof/>
          <w:sz w:val="24"/>
        </w:rPr>
        <w:t xml:space="preserve"> a cadrului juridic actual stă la baza acestor constatări și identifică o serie de deficiențe specifice.</w:t>
      </w:r>
    </w:p>
    <w:p w14:paraId="48394BA6" w14:textId="77777777" w:rsidR="00275512" w:rsidRPr="007F059F" w:rsidRDefault="00275512" w:rsidP="00275512">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w:t>
      </w:r>
      <w:r>
        <w:rPr>
          <w:rFonts w:ascii="Times New Roman" w:hAnsi="Times New Roman"/>
          <w:b/>
          <w:bCs/>
          <w:noProof/>
          <w:sz w:val="24"/>
        </w:rPr>
        <w:t>tranziția la fibră optică</w:t>
      </w:r>
      <w:r>
        <w:rPr>
          <w:rFonts w:ascii="Times New Roman" w:hAnsi="Times New Roman"/>
          <w:noProof/>
          <w:sz w:val="24"/>
        </w:rPr>
        <w:t xml:space="preserve">, problemele care necesită schimbări mai semnificative sunt persistența decalajului dintre zonele urbane și cele rurale în ceea ce privește concurența în materie de infrastructură și dezactivarea rețelelor de cupru. </w:t>
      </w:r>
      <w:r>
        <w:rPr>
          <w:rFonts w:ascii="Times New Roman" w:hAnsi="Times New Roman"/>
          <w:b/>
          <w:bCs/>
          <w:noProof/>
          <w:sz w:val="24"/>
        </w:rPr>
        <w:t>Existența rețelelor de cupru tradiționale</w:t>
      </w:r>
      <w:r>
        <w:rPr>
          <w:rFonts w:ascii="Times New Roman" w:hAnsi="Times New Roman"/>
          <w:noProof/>
          <w:sz w:val="24"/>
        </w:rPr>
        <w:t xml:space="preserve"> în toate statele membre, care este, de asemenea, o consecință a abordărilor în materie de reglementare și a opțiunilor comerciale diferite din statele membre, descurajează și întârzie implementarea și adoptarea unor rețele de fibră optică mai performante într-o măsură substanțial diferită în diverse state membre. Acest lucru are efecte negative asupra condițiilor de introducere a unor servicii fixe inovatoare omogene pe piața unică. Dispozițiile CECE referitoare la dezactivarea rețelelor de cupru au avut o relevanță practică limitată, în principal deoarece nu au fost concepute pentru a accelera migrarea și nu au oferit autorităților de reglementare instrumentele necesare în acest sens. </w:t>
      </w:r>
      <w:r>
        <w:rPr>
          <w:rFonts w:ascii="Times New Roman" w:hAnsi="Times New Roman"/>
          <w:b/>
          <w:bCs/>
          <w:noProof/>
          <w:sz w:val="24"/>
        </w:rPr>
        <w:t>Reglementarea accesului</w:t>
      </w:r>
      <w:r>
        <w:rPr>
          <w:rFonts w:ascii="Times New Roman" w:hAnsi="Times New Roman"/>
          <w:noProof/>
          <w:sz w:val="24"/>
        </w:rPr>
        <w:t xml:space="preserve"> rămâne în continuare relevantă, însă poate fi ameliorată prin înzestrarea ANR-urilor cu mai multe instrumente, inclusiv și în special utilizarea complementară a reglementării simetrice și bazate pe puterea semnificativă pe piață, în special în ceea ce privește accesul la conducte, pentru a aborda problemele de concurență care ar putea apărea în timpul tranziției la fibră optică și după dezactivarea cuprului după ce se va ajunge la acoperirea integrală cu fibră optică. Raportul observă, de asemenea, că anchetele geografice (care nu au fost utilizate la întregul lor potențial în cadrul actual) ar trebui să ajute administrațiile naționale și ANR-urile să colecteze dovezi pentru a modela intervențiile de reglementare și inițiativele de politică care abordează problemele legate de acoperirea rețelelor de fibră optică.</w:t>
      </w:r>
    </w:p>
    <w:p w14:paraId="5917F386" w14:textId="77777777" w:rsidR="00275512" w:rsidRDefault="00275512" w:rsidP="00275512">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w:t>
      </w:r>
      <w:r>
        <w:rPr>
          <w:rFonts w:ascii="Times New Roman" w:hAnsi="Times New Roman"/>
          <w:b/>
          <w:bCs/>
          <w:noProof/>
          <w:sz w:val="24"/>
        </w:rPr>
        <w:t>politica în domeniul spectrului de frecvențe radio</w:t>
      </w:r>
      <w:r>
        <w:rPr>
          <w:rFonts w:ascii="Times New Roman" w:hAnsi="Times New Roman"/>
          <w:noProof/>
          <w:sz w:val="24"/>
        </w:rPr>
        <w:t xml:space="preserve">, CECE nu a reușit să instituie un cadru de alocare a spectrului de frecvențe radio favorabil investițiilor. Condițiile de alocare rămân fragmentate între statele membre, permit în continuare modele de licitații orientate spre venituri, prevăd o durată insuficientă a licențelor și nu oferă stimulente pentru utilizarea în comun a spectrului. Previzibilitatea limitată în materie de reglementare și lipsa cererii afectează atractivitatea financiară pentru investitori a proiectelor de implementare a tehnologiei 5G de înaltă calitate. Prin urmare, în comparație cu alte regiuni, UE înregistrează întârzieri în ceea ce privește implementarea 5G de înaltă calitate/de sine stătătoare, iar consumatorii și întreprinderile riscă să nu beneficieze de servicii inovatoare avansate. </w:t>
      </w:r>
    </w:p>
    <w:p w14:paraId="06E63BD1" w14:textId="77777777" w:rsidR="00275512" w:rsidRDefault="00275512" w:rsidP="00275512">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Continuă să existe obstacole în calea funcționării transfrontaliere și a extinderii, inclusiv în cadrul </w:t>
      </w:r>
      <w:r>
        <w:rPr>
          <w:rFonts w:ascii="Times New Roman" w:hAnsi="Times New Roman"/>
          <w:b/>
          <w:noProof/>
          <w:sz w:val="24"/>
        </w:rPr>
        <w:t>regimului de autorizare generală,</w:t>
      </w:r>
      <w:r>
        <w:rPr>
          <w:rFonts w:ascii="Times New Roman" w:hAnsi="Times New Roman"/>
          <w:noProof/>
          <w:sz w:val="24"/>
        </w:rPr>
        <w:t xml:space="preserve"> ceea ce a dus la lipsa unei abordări uniforme și coerente în materie de condiții aplicabile comunicațiilor electronice în general, inclusiv comunicațiilor fără fir. Același lucru este valabil și pentru serviciile prin satelit, în cazul cărora autorizarea rămâne națională și fragmentată, în pofida naturii inerent transfrontaliere a acestei piețe și a potențialului tehnologiei de conectare directă între satelit și dispozitiv (</w:t>
      </w:r>
      <w:r>
        <w:rPr>
          <w:rFonts w:ascii="Times New Roman" w:hAnsi="Times New Roman"/>
          <w:i/>
          <w:iCs/>
          <w:noProof/>
          <w:sz w:val="24"/>
        </w:rPr>
        <w:t>direct-to-device – D2D</w:t>
      </w:r>
      <w:r>
        <w:rPr>
          <w:rFonts w:ascii="Times New Roman" w:hAnsi="Times New Roman"/>
          <w:noProof/>
          <w:sz w:val="24"/>
        </w:rPr>
        <w:t>) de a oferi o acoperire omniprezentă și neîntreruptă în întreaga UE.</w:t>
      </w:r>
    </w:p>
    <w:p w14:paraId="49917620" w14:textId="77777777" w:rsidR="00275512" w:rsidRPr="001B102F" w:rsidRDefault="00275512" w:rsidP="00275512">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Dispozițiile privind drepturile utilizatorilor finali</w:t>
      </w:r>
      <w:r>
        <w:rPr>
          <w:rFonts w:ascii="Times New Roman" w:hAnsi="Times New Roman"/>
          <w:noProof/>
          <w:sz w:val="24"/>
        </w:rPr>
        <w:t xml:space="preserve"> continuă, în cea mai mare parte, să fie adecvate scopului, iar europenii se bucură de un nivel ridicat de calitate a experienței utilizatorilor finali și de protecție în sectorul comunicațiilor electronice în ceea ce privește alegerea, prețul și calitatea serviciilor. Statele membre au utilizat, de asemenea, posibilitățile din cadrul de reglementare pentru introducerea de norme naționale, ceea ce duce adesea la o aplicare divergentă a normelor și chiar, uneori, la o reglementare excesivă. Creșterea armonizării ar putea reduce sarcina administrativă și costurile de asigurare a conformității și ar putea îmbunătăți furnizarea de servicii transfrontaliere. În plus, unele actualizări și simplificări ar putea fi benefice atât pentru utilizatorii finali, cât și pentru furnizorii de servicii, de exemplu raționalizarea cerințelor privind furnizarea de informații.</w:t>
      </w:r>
    </w:p>
    <w:p w14:paraId="6C6D821D" w14:textId="77777777" w:rsidR="00275512" w:rsidRPr="0046257A" w:rsidRDefault="00275512" w:rsidP="00275512">
      <w:pPr>
        <w:spacing w:after="240" w:line="240" w:lineRule="auto"/>
        <w:jc w:val="both"/>
        <w:rPr>
          <w:rFonts w:ascii="Times New Roman" w:hAnsi="Times New Roman" w:cs="Times New Roman"/>
          <w:noProof/>
          <w:sz w:val="24"/>
          <w:szCs w:val="24"/>
        </w:rPr>
      </w:pPr>
      <w:r>
        <w:rPr>
          <w:rFonts w:ascii="Times New Roman" w:hAnsi="Times New Roman"/>
          <w:b/>
          <w:noProof/>
          <w:sz w:val="24"/>
        </w:rPr>
        <w:t>Obligațiile de serviciu universal</w:t>
      </w:r>
      <w:r>
        <w:rPr>
          <w:rFonts w:ascii="Times New Roman" w:hAnsi="Times New Roman"/>
          <w:noProof/>
          <w:sz w:val="24"/>
        </w:rPr>
        <w:t xml:space="preserve"> prevăzute de CECE nu sunt utilizate pe scară largă în toate statele membre și pot fi împovărătoare din punct de vedere administrativ. Cu toate acestea, având în vedere decalajul persistent dintre mediul urban și cel rural și nivelul riscului de sărăcie pentru persoanele din UE, normele privind serviciul universal reprezintă o plasă de siguranță pentru a se asigura că toți consumatorii din Uniune dispun de servicii de internet și de comunicații de voce cel puțin adecvate și la un preț accesibil. Rolul plasei de siguranță pentru serviciul universal continuă să fie important și în contextul evoluției tehnologice (inclusiv în timpul și după tranziția către un mediu care folosește integral fibra optică).</w:t>
      </w:r>
    </w:p>
    <w:p w14:paraId="4025803B" w14:textId="77777777" w:rsidR="00275512" w:rsidRDefault="00275512" w:rsidP="00275512">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CECE nu a reușit să realizeze armonizarea </w:t>
      </w:r>
      <w:r>
        <w:rPr>
          <w:rFonts w:ascii="Times New Roman" w:hAnsi="Times New Roman"/>
          <w:b/>
          <w:bCs/>
          <w:noProof/>
          <w:sz w:val="24"/>
        </w:rPr>
        <w:t>guvernanței</w:t>
      </w:r>
      <w:r>
        <w:rPr>
          <w:rFonts w:ascii="Times New Roman" w:hAnsi="Times New Roman"/>
          <w:noProof/>
          <w:sz w:val="24"/>
        </w:rPr>
        <w:t>, inclusiv din cauza faptului că structura de guvernanță nu este pe deplin adecvată pentru îndeplinirea obiectivelor pieței unice. Contribuțiile OAREC la punerea în aplicare armonizată a CECE sunt, de obicei, de calitate foarte bună și sprijină ANR-urile să ajungă la abordări comune, însă cu toate acestea ele nu au fost suficiente pentru a realiza piața unică în sectorul comunicațiilor electronice. Evaluarea a identificat, de asemenea, o potențială necesitate de a acoperi noi sarcini în materie de spectru și date pentru a asigura o abordare coerentă în aceste domenii. RSPG, un grup de experți la nivel înalt al Comisiei, a contribuit la dezvoltarea politicii în domeniul spectrului de frecvențe radio, dar s-a axat în principal pe aspecte tehnice, mai degrabă decât pe aspecte mai ample ale politicii în domeniul spectrului de frecvențe radio în general, cum ar fi aspectele economice, politice, culturale, strategice, de securitate, de sănătate și sociale.</w:t>
      </w:r>
    </w:p>
    <w:p w14:paraId="79B52E46" w14:textId="77777777" w:rsidR="00275512" w:rsidRDefault="00275512" w:rsidP="00275512">
      <w:pPr>
        <w:spacing w:after="240" w:line="240" w:lineRule="auto"/>
        <w:jc w:val="both"/>
        <w:rPr>
          <w:rFonts w:ascii="Times New Roman" w:hAnsi="Times New Roman" w:cs="Times New Roman"/>
          <w:noProof/>
          <w:sz w:val="24"/>
          <w:szCs w:val="24"/>
        </w:rPr>
      </w:pPr>
      <w:r>
        <w:rPr>
          <w:rFonts w:ascii="Times New Roman" w:hAnsi="Times New Roman"/>
          <w:noProof/>
          <w:sz w:val="24"/>
        </w:rPr>
        <w:t>Prin urmare, evaluarea impactului se bazează pe aceste deficiențe, precum și pe noile provocări viitoare identificate.</w:t>
      </w:r>
    </w:p>
    <w:p w14:paraId="36BD2147" w14:textId="77777777" w:rsidR="00275512" w:rsidRPr="00C73A1E" w:rsidRDefault="00275512" w:rsidP="00275512">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În ceea ce privește tranziția către fibră optică, </w:t>
      </w:r>
      <w:r>
        <w:rPr>
          <w:rFonts w:ascii="Times New Roman" w:hAnsi="Times New Roman"/>
          <w:noProof/>
          <w:sz w:val="24"/>
        </w:rPr>
        <w:t>raportul Comisiei privind programul de politică pentru 2025 privind deceniul digital a arătat că obiectivul în materie de conectivitate la nivel de gigabit exprimat prin indicatorul „fibră până la sediul utilizatorului” (</w:t>
      </w:r>
      <w:r>
        <w:rPr>
          <w:rFonts w:ascii="Times New Roman" w:hAnsi="Times New Roman"/>
          <w:i/>
          <w:iCs/>
          <w:noProof/>
          <w:sz w:val="24"/>
        </w:rPr>
        <w:t>Fiber to the Premises – FTTP</w:t>
      </w:r>
      <w:r>
        <w:rPr>
          <w:rFonts w:ascii="Times New Roman" w:hAnsi="Times New Roman"/>
          <w:noProof/>
          <w:sz w:val="24"/>
        </w:rPr>
        <w:t>) a fost de 69 % în 2024 și se preconiza că, până în 2030, aproximativ 90 % din spații vor fi conectate la fibră optică. Cu toate acestea, previziunile privind acoperirea completă de tip FTTP la nivelul UE arată că dacă nu se iau măsuri suplimentare, acoperirea de 100 % va fi realizată numai în 2051. Rețelele de cupru nu pot îndeplini cerințele viitoare pentru accesul fix la internet în ceea ce privește vitezele de încărcare și descărcare, latența și fiabilitatea. Analiza a arătat, de asemenea, că prezența unei rețele de cupru încetinește adoptarea serviciilor bazate pe fibră optică. Cadrul de reglementare și aplicarea acestuia de către ANR-uri, în special tipul de măsuri corective adoptate, pot influența, de asemenea, implementarea și adoptarea fibrei optice. De exemplu, țările în care autoritățile de reglementare au urmat alegerea sistemului „fibră până la cabinetul stradal” (</w:t>
      </w:r>
      <w:r>
        <w:rPr>
          <w:rFonts w:ascii="Times New Roman" w:hAnsi="Times New Roman"/>
          <w:i/>
          <w:iCs/>
          <w:noProof/>
          <w:sz w:val="24"/>
        </w:rPr>
        <w:t>Fiber to the Cabinet – FTTC</w:t>
      </w:r>
      <w:r>
        <w:rPr>
          <w:rFonts w:ascii="Times New Roman" w:hAnsi="Times New Roman"/>
          <w:noProof/>
          <w:sz w:val="24"/>
        </w:rPr>
        <w:t>) de către operatorul tradițional (care include o componentă de rețea de cupru) se caracterizează prin persistența rețelelor de cupru și prin implementarea lentă a fibrei optice. În schimb, țările în care ANR-urile au decis să faciliteze accesul la infrastructurile civile (de exemplu prin promovarea accesului la conducte și stâlpi pe care operatorii să își poată instala propriile rețele) au avut mai mult succes în ceea ce privește instalarea fibrei optice.</w:t>
      </w:r>
    </w:p>
    <w:p w14:paraId="10B25F5C" w14:textId="77777777" w:rsidR="00275512" w:rsidRDefault="00275512" w:rsidP="00275512">
      <w:pPr>
        <w:spacing w:after="240" w:line="240" w:lineRule="auto"/>
        <w:jc w:val="both"/>
        <w:rPr>
          <w:rFonts w:ascii="Times New Roman" w:hAnsi="Times New Roman" w:cs="Times New Roman"/>
          <w:noProof/>
          <w:sz w:val="24"/>
          <w:szCs w:val="24"/>
        </w:rPr>
      </w:pPr>
      <w:r>
        <w:rPr>
          <w:rFonts w:ascii="Times New Roman" w:hAnsi="Times New Roman"/>
          <w:b/>
          <w:noProof/>
          <w:sz w:val="24"/>
        </w:rPr>
        <w:t>În ceea ce privește spectrul radio,</w:t>
      </w:r>
      <w:r>
        <w:rPr>
          <w:rFonts w:ascii="Times New Roman" w:hAnsi="Times New Roman"/>
          <w:noProof/>
          <w:sz w:val="24"/>
        </w:rPr>
        <w:t xml:space="preserve"> analiza evaluării impactului a arătat că reglementarea spectrului și factorii de piață au încetinit investițiile în conectivitatea mobilă de înaltă calitate. În plus, investițiile în modernizarea tehnologiei 5G sunt afectate negativ de cererea limitată. În consecință, deși în Europa există o bună acoperire 5G de bază (bazată pe 4G) (94,3%)</w:t>
      </w:r>
      <w:r w:rsidRPr="00405AF2">
        <w:rPr>
          <w:rFonts w:ascii="Times New Roman" w:hAnsi="Times New Roman" w:cs="Times New Roman"/>
          <w:noProof/>
          <w:sz w:val="24"/>
          <w:szCs w:val="24"/>
          <w:vertAlign w:val="superscript"/>
        </w:rPr>
        <w:footnoteReference w:id="1"/>
      </w:r>
      <w:r>
        <w:rPr>
          <w:rFonts w:ascii="Times New Roman" w:hAnsi="Times New Roman"/>
          <w:noProof/>
          <w:sz w:val="24"/>
        </w:rPr>
        <w:t>, comparabilă cu economiile concurente, UE înregistrează întârzieri semnificative în ceea ce privește rețelele 5G avansate de mare capacitate care utilizează spectrul de bandă medie [5G de sine stătător (</w:t>
      </w:r>
      <w:r>
        <w:rPr>
          <w:rFonts w:ascii="Times New Roman" w:hAnsi="Times New Roman"/>
          <w:i/>
          <w:iCs/>
          <w:noProof/>
          <w:sz w:val="24"/>
        </w:rPr>
        <w:t>5G Stand Alone – 5G SA</w:t>
      </w:r>
      <w:r>
        <w:rPr>
          <w:rFonts w:ascii="Times New Roman" w:hAnsi="Times New Roman"/>
          <w:noProof/>
          <w:sz w:val="24"/>
        </w:rPr>
        <w:t>)], care reprezintă aproximativ 40 %, comparativ cu 90 % în America de Nord și 45 % în Asia-Pacific</w:t>
      </w:r>
      <w:r w:rsidRPr="00405AF2">
        <w:rPr>
          <w:rFonts w:ascii="Times New Roman" w:hAnsi="Times New Roman" w:cs="Times New Roman"/>
          <w:noProof/>
          <w:sz w:val="24"/>
          <w:szCs w:val="24"/>
          <w:vertAlign w:val="superscript"/>
        </w:rPr>
        <w:footnoteReference w:id="2"/>
      </w:r>
      <w:r>
        <w:rPr>
          <w:rFonts w:ascii="Times New Roman" w:hAnsi="Times New Roman"/>
          <w:noProof/>
          <w:sz w:val="24"/>
        </w:rPr>
        <w:t>). De asemenea, Europa este în mod semnificativ în urmă în ceea ce privește adoptarea de către utilizatori a tehnologiei 5G SA, doar 2 % dintre utilizatorii 5G fiind conectați prin intermediul rețelelor de tip SA</w:t>
      </w:r>
      <w:r w:rsidRPr="00657E9D">
        <w:rPr>
          <w:rFonts w:ascii="Times New Roman" w:hAnsi="Times New Roman" w:cs="Times New Roman"/>
          <w:noProof/>
          <w:sz w:val="24"/>
          <w:szCs w:val="24"/>
          <w:vertAlign w:val="superscript"/>
        </w:rPr>
        <w:footnoteReference w:id="3"/>
      </w:r>
      <w:r>
        <w:rPr>
          <w:rFonts w:ascii="Times New Roman" w:hAnsi="Times New Roman"/>
          <w:noProof/>
          <w:sz w:val="24"/>
        </w:rPr>
        <w:t>, în comparație cu 24 % în SUA, 25 % în India și 77,1 % în China</w:t>
      </w:r>
      <w:r w:rsidRPr="00657E9D">
        <w:rPr>
          <w:rFonts w:ascii="Times New Roman" w:hAnsi="Times New Roman" w:cs="Times New Roman"/>
          <w:noProof/>
          <w:sz w:val="24"/>
          <w:szCs w:val="24"/>
          <w:vertAlign w:val="superscript"/>
          <w:lang w:val="en-IE"/>
        </w:rPr>
        <w:footnoteReference w:id="4"/>
      </w:r>
      <w:r>
        <w:rPr>
          <w:rFonts w:ascii="Times New Roman" w:hAnsi="Times New Roman"/>
          <w:noProof/>
          <w:sz w:val="24"/>
        </w:rPr>
        <w:t>.</w:t>
      </w:r>
    </w:p>
    <w:p w14:paraId="2601199A" w14:textId="77777777" w:rsidR="00275512" w:rsidRDefault="00275512" w:rsidP="00275512">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În ceea ce privește lipsa de rețele și servicii paneuropene</w:t>
      </w:r>
      <w:r>
        <w:rPr>
          <w:rFonts w:ascii="Times New Roman" w:hAnsi="Times New Roman"/>
          <w:noProof/>
          <w:sz w:val="24"/>
        </w:rPr>
        <w:t>, evaluarea impactului a arătat că operatorii se confruntă cu condiții de autorizare generală divergente între statele membre și cu un mozaic de cerințe naționale care descurajează operațiunile transfrontaliere, cresc costurile de asigurare a conformității și întârzie introducerea de noi tehnologii. În același timp și astfel cum s-a descris în detaliu în Cartea albă a Comisiei</w:t>
      </w:r>
      <w:r w:rsidRPr="00405AF2">
        <w:rPr>
          <w:rFonts w:ascii="Times New Roman" w:hAnsi="Times New Roman" w:cs="Times New Roman"/>
          <w:noProof/>
          <w:sz w:val="24"/>
          <w:szCs w:val="24"/>
          <w:vertAlign w:val="superscript"/>
        </w:rPr>
        <w:footnoteReference w:id="5"/>
      </w:r>
      <w:r>
        <w:rPr>
          <w:rFonts w:ascii="Times New Roman" w:hAnsi="Times New Roman"/>
          <w:noProof/>
          <w:sz w:val="24"/>
        </w:rPr>
        <w:t>, progresele înregistrate în domeniul internetului obiectelor, al IA, al analizei datelor și al furnizării de conținut transformă conectivitatea într-un ecosistem convergent, cu noi modele de afaceri. Pe măsură ce rețelele se virtualizează și se integrează în cloud, edge și IA, apar oportunități pentru servicii inovatoare, cum ar fi tehnologia 5G integrată în cloud, permițând furnizorilor să beneficieze de economii de scară. Serviciile transfrontaliere ar putea urma, dar normele fragmentate împiedică în continuare companiile de telecomunicații să deblocheze aceste beneficii în întreaga piață unică. De asemenea, va fi necesară o cooperare intersectorială mai strânsă pentru a valorifica pe deplin oportunitățile acestui nou ecosistem.</w:t>
      </w:r>
    </w:p>
    <w:p w14:paraId="133FDFDF" w14:textId="77777777" w:rsidR="00275512" w:rsidRDefault="00275512" w:rsidP="00275512">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plus, în ceea ce privește </w:t>
      </w:r>
      <w:r>
        <w:rPr>
          <w:rFonts w:ascii="Times New Roman" w:hAnsi="Times New Roman"/>
          <w:b/>
          <w:noProof/>
          <w:sz w:val="24"/>
        </w:rPr>
        <w:t>comunicațiile prin satelit</w:t>
      </w:r>
      <w:r>
        <w:rPr>
          <w:rFonts w:ascii="Times New Roman" w:hAnsi="Times New Roman"/>
          <w:noProof/>
          <w:sz w:val="24"/>
        </w:rPr>
        <w:t xml:space="preserve">, autorizarea utilizării spectrului de frecvențe prin satelit și asigurarea respectării condițiilor de autorizare sunt puse în aplicare în prezent de fiecare administrație națională. În contextul creșterii exponențiale a numărului de constelații de sateliți, lipsa unei abordări europene în ceea ce privește autorizarea spectrului de frecvențe pentru sateliți prezintă riscuri pentru capacitatea Europei de a valorifica potențialul rețelelor de sateliți pentru furnizarea de rețele paneuropene omniprezente și neîntrerupte. În plus, această lipsă pune în pericol accesul operatorilor din UE la resurse-cheie și nu garantează că toți actorii respectă cel puțin obligațiile internaționale legate de evitarea interferențelor prejudiciabile. </w:t>
      </w:r>
    </w:p>
    <w:p w14:paraId="147C26F6" w14:textId="77777777" w:rsidR="00275512" w:rsidRDefault="00275512" w:rsidP="00275512">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Barierele se extind, de asemenea, la </w:t>
      </w:r>
      <w:r>
        <w:rPr>
          <w:rFonts w:ascii="Times New Roman" w:hAnsi="Times New Roman"/>
          <w:b/>
          <w:noProof/>
          <w:sz w:val="24"/>
        </w:rPr>
        <w:t>reziliență,</w:t>
      </w:r>
      <w:r>
        <w:rPr>
          <w:rFonts w:ascii="Times New Roman" w:hAnsi="Times New Roman"/>
          <w:noProof/>
          <w:sz w:val="24"/>
        </w:rPr>
        <w:t xml:space="preserve"> deoarece rețelele de conectivitate se confruntă cu amenințări tot mai mari din partea atacurilor cibernetice, a perturbărilor fizice și a dezastrelor naturale cu impact transfrontalier. Întreruperile cauzează deja costuri economice semnificative în fiecare an, iar siguranța publică este în pericol atunci când serviciile de urgență sunt perturbate. În pofida instrumentelor legislative existente care stabilesc standarde minime privind actorii din sectorul conectivității, este necesară o coordonare mai strânsă la nivelul UE pentru a aborda interdependențele transfrontaliere și pentru a proteja reziliența și pregătirea sectorului. </w:t>
      </w:r>
    </w:p>
    <w:p w14:paraId="79EF60A3" w14:textId="77777777" w:rsidR="00275512" w:rsidRDefault="00275512" w:rsidP="00275512">
      <w:pPr>
        <w:spacing w:after="240" w:line="240" w:lineRule="auto"/>
        <w:jc w:val="both"/>
        <w:rPr>
          <w:rFonts w:ascii="Times New Roman" w:hAnsi="Times New Roman" w:cs="Times New Roman"/>
          <w:noProof/>
          <w:sz w:val="24"/>
          <w:szCs w:val="24"/>
        </w:rPr>
      </w:pPr>
      <w:r>
        <w:rPr>
          <w:rFonts w:ascii="Times New Roman" w:hAnsi="Times New Roman"/>
          <w:noProof/>
          <w:sz w:val="24"/>
        </w:rPr>
        <w:t>În ceea ce privește</w:t>
      </w:r>
      <w:r>
        <w:rPr>
          <w:rFonts w:ascii="Times New Roman" w:hAnsi="Times New Roman"/>
          <w:b/>
          <w:noProof/>
          <w:sz w:val="24"/>
        </w:rPr>
        <w:t xml:space="preserve"> guvernanța</w:t>
      </w:r>
      <w:r>
        <w:rPr>
          <w:rFonts w:ascii="Times New Roman" w:hAnsi="Times New Roman"/>
          <w:noProof/>
          <w:sz w:val="24"/>
        </w:rPr>
        <w:t xml:space="preserve">, UE este în continuare caracterizată de piețe naționale fragmentate. Articularea competențelor și a rolurilor Comisiei, ale ANR-urilor și ale altor autorități competente pentru spectru și anumite alte zone transfrontaliere specifice, ale OAREC și ale RSPG este complexă, împovărătoare și nu este suficient de clară pentru părțile interesate și nici pe deplin adecvată pentru a sprijini piața unică. </w:t>
      </w:r>
    </w:p>
    <w:p w14:paraId="6F5B5309" w14:textId="77777777" w:rsidR="00275512" w:rsidRDefault="00275512" w:rsidP="00275512">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Evaluarea impactului a identificat </w:t>
      </w:r>
      <w:r>
        <w:rPr>
          <w:rFonts w:ascii="Times New Roman" w:hAnsi="Times New Roman"/>
          <w:noProof/>
          <w:sz w:val="24"/>
          <w:u w:val="single"/>
        </w:rPr>
        <w:t>următoarele opțiuni</w:t>
      </w:r>
      <w:r>
        <w:rPr>
          <w:rFonts w:ascii="Times New Roman" w:hAnsi="Times New Roman"/>
          <w:noProof/>
          <w:sz w:val="24"/>
        </w:rPr>
        <w:t xml:space="preserve"> pentru a aborda cel mai bine problemele:</w:t>
      </w:r>
    </w:p>
    <w:p w14:paraId="55109D47" w14:textId="77777777" w:rsidR="00275512" w:rsidRDefault="00275512" w:rsidP="00275512">
      <w:pPr>
        <w:spacing w:after="240" w:line="240" w:lineRule="auto"/>
        <w:jc w:val="both"/>
        <w:rPr>
          <w:rFonts w:ascii="Times New Roman" w:hAnsi="Times New Roman" w:cs="Times New Roman"/>
          <w:b/>
          <w:bCs/>
          <w:noProof/>
          <w:sz w:val="24"/>
          <w:szCs w:val="24"/>
        </w:rPr>
      </w:pPr>
    </w:p>
    <w:p w14:paraId="2406DA4C" w14:textId="77777777" w:rsidR="00275512" w:rsidRDefault="00275512" w:rsidP="00275512">
      <w:pPr>
        <w:spacing w:after="240" w:line="240" w:lineRule="auto"/>
        <w:jc w:val="both"/>
        <w:rPr>
          <w:rFonts w:ascii="Times New Roman" w:hAnsi="Times New Roman" w:cs="Times New Roman"/>
          <w:b/>
          <w:bCs/>
          <w:noProof/>
          <w:sz w:val="24"/>
          <w:szCs w:val="24"/>
        </w:rPr>
      </w:pPr>
    </w:p>
    <w:p w14:paraId="1D8D69FF" w14:textId="796EA041" w:rsidR="00275512" w:rsidRPr="00B00137" w:rsidRDefault="00275512" w:rsidP="00275512">
      <w:pPr>
        <w:spacing w:after="240" w:line="240" w:lineRule="auto"/>
        <w:jc w:val="both"/>
        <w:rPr>
          <w:rFonts w:ascii="Times New Roman" w:hAnsi="Times New Roman" w:cs="Times New Roman"/>
          <w:b/>
          <w:bCs/>
          <w:noProof/>
          <w:sz w:val="24"/>
          <w:szCs w:val="24"/>
        </w:rPr>
      </w:pPr>
      <w:r>
        <w:rPr>
          <w:rFonts w:ascii="Times New Roman" w:hAnsi="Times New Roman"/>
          <w:b/>
          <w:noProof/>
          <w:sz w:val="24"/>
        </w:rPr>
        <w:t xml:space="preserve">Tranziția la fibră optică </w:t>
      </w:r>
    </w:p>
    <w:p w14:paraId="55281A80" w14:textId="77777777" w:rsidR="00275512" w:rsidRPr="001E72B2" w:rsidRDefault="00275512" w:rsidP="00275512">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Opțiunea preferată conține o combinație de măsuri menite să încurajeze implementarea și adoptarea fibrelor optice, inclusiv prin intermediul unei dezactivări a cuprului la nivelul UE până în 2030, sub rezerva anumitor condiții. Aceasta sporește responsabilitatea statelor membre, care, până în 2029, vor comunica Comisiei planurile de tranziție către fibra optică, stabilind o strategie coordonată la nivel național și măsuri concrete de sprijinire a implementării și adoptării fibrelor optice. Aceste planuri ar trebui, de asemenea, să identifice, pe baza contribuțiilor ANR-urilor, domeniile în care sunt îndeplinite condițiile și în care dezactivarea poate începe până cel târziu în 2030. Condițiile care trebuie aplicate cumulativ sunt: (1) acoperirea cu fibră optică la nivel de 95 % și (2) disponibilitatea ofertelor cu amănuntul de bandă largă la prețuri și calitate comparabile cu ofertele pe bază de cupru. În plus, statele membre ar trebui să instituie garanții adecvate pentru consumatorii vulnerabili înainte de începerea dezactivării rețelelor de cupru. În cazul în care dezactivarea nu poate începe până în 2030, statele membre ar trebui să stabilească măsuri concrete de creștere a acoperirii pentru a asigura tranziția către fibră optică în 2035. Această opțiune include o revizuire, planificată pentru 2035. Până în 2035, statele membre ar trebui să se asigure că, în zonele în care a început dezactivarea cuprului, aceasta este finalizată cât mai curând posibil. Pentru toate celelalte zone rămase, în care instalarea fibrei optice nu este viabilă (de exemplu zonele îndepărtate dificil accesibile din punct de vedere geografic), statele membre ar trebui să explice motivele neviabilității și să ofere soluții alternative de conectivitate pentru clienții din aceste zone.</w:t>
      </w:r>
    </w:p>
    <w:p w14:paraId="7E8D898C" w14:textId="77777777" w:rsidR="00275512" w:rsidRPr="001E72B2" w:rsidRDefault="00275512" w:rsidP="00275512">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Opțiunea include garanții foarte solide pentru utilizatorii finali: (i) condițiile de dezactivare; (ii) garanții suplimentare care însoțesc dezactivarea rețelelor de cupru; (iii) măsuri corective adecvate adoptate de ANR-uri, după caz; (iv) dispoziții privind obligația de serviciu universal și (v) mijloace alternative de conectivitate în zonele reziduale în care instalarea fibrei optice nu este considerată viabilă, în urma revizuirii din 2035.</w:t>
      </w:r>
    </w:p>
    <w:p w14:paraId="16E2B307" w14:textId="77777777" w:rsidR="00275512" w:rsidRPr="001E72B2" w:rsidRDefault="00275512" w:rsidP="00275512">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Coerența în întreaga UE va fi realizată printr-un control al Comisiei asupra planurilor de instalare a rețelelor de fibră și de dezactivare a cuprului și asupra procesului de dezactivare a cuprului. În ceea ce privește reglementarea accesului, această opțiune oferă ANR-urilor mai multe instrumente de reglementare </w:t>
      </w:r>
      <w:r>
        <w:rPr>
          <w:rFonts w:ascii="Times New Roman" w:hAnsi="Times New Roman"/>
          <w:i/>
          <w:iCs/>
          <w:noProof/>
          <w:sz w:val="24"/>
        </w:rPr>
        <w:t>ex ante</w:t>
      </w:r>
      <w:r>
        <w:rPr>
          <w:rFonts w:ascii="Times New Roman" w:hAnsi="Times New Roman"/>
          <w:noProof/>
          <w:sz w:val="24"/>
        </w:rPr>
        <w:t>, permițând o utilizare specifică, în funcție de situația pieței, a reglementării bazate pe puterea semnificativă pe piață sau simetrice. Abordarea privind ancheta geografică ar fi consolidată, permițând concentrarea asupra piețelor subnaționale. Vor fi dezvoltate produsele angro standardizate la nivelul UE pentru a asigura securitatea juridică și o mai mare armonizare în cadrul pieței unice.</w:t>
      </w:r>
    </w:p>
    <w:p w14:paraId="11FACE11" w14:textId="77777777" w:rsidR="00275512" w:rsidRPr="006F011F" w:rsidRDefault="00275512" w:rsidP="00275512">
      <w:pPr>
        <w:spacing w:after="240" w:line="240" w:lineRule="auto"/>
        <w:jc w:val="both"/>
        <w:rPr>
          <w:rFonts w:ascii="Times New Roman" w:hAnsi="Times New Roman" w:cs="Times New Roman"/>
          <w:noProof/>
          <w:sz w:val="24"/>
          <w:szCs w:val="24"/>
        </w:rPr>
      </w:pPr>
      <w:r>
        <w:rPr>
          <w:rFonts w:ascii="Times New Roman" w:hAnsi="Times New Roman"/>
          <w:noProof/>
          <w:sz w:val="24"/>
        </w:rPr>
        <w:t>În ceea ce privește impactul economic și asupra mediului (începând cu 2035), acest lucru ar avea efecte pozitive în ceea ce privește (i) creșterea cumulată a PIB-ului cu 327 de miliarde EUR peste scenariul de referință, (ii) reducerea totală a emisiilor de CO</w:t>
      </w:r>
      <w:r>
        <w:rPr>
          <w:rFonts w:ascii="Times New Roman" w:hAnsi="Times New Roman"/>
          <w:noProof/>
          <w:sz w:val="24"/>
          <w:vertAlign w:val="subscript"/>
        </w:rPr>
        <w:t>2</w:t>
      </w:r>
      <w:r>
        <w:rPr>
          <w:rFonts w:ascii="Times New Roman" w:hAnsi="Times New Roman"/>
          <w:noProof/>
          <w:sz w:val="24"/>
        </w:rPr>
        <w:t xml:space="preserve"> sub scenariul de referință (cu 0,6 milioane de tone sau 4,5 %) și (iii) vitezele medii de descărcare (7 435 Mbps). Impactul social nu poate fi cuantificat, dar este foarte probabil ca opțiunea preferată să aibă cel mai mare impact social pozitiv, deoarece are rezultate bune în ceea ce privește acoperirea cu fibră optică și rata de utilizare a rețelelor de tip „fibră până acasă” (</w:t>
      </w:r>
      <w:r>
        <w:rPr>
          <w:rFonts w:ascii="Times New Roman" w:hAnsi="Times New Roman"/>
          <w:i/>
          <w:iCs/>
          <w:noProof/>
          <w:sz w:val="24"/>
        </w:rPr>
        <w:t>fiber to the home</w:t>
      </w:r>
      <w:r>
        <w:rPr>
          <w:rFonts w:ascii="Times New Roman" w:hAnsi="Times New Roman"/>
          <w:noProof/>
          <w:sz w:val="24"/>
        </w:rPr>
        <w:t xml:space="preserve"> – FTTH). În ceea ce privește impactul asupra drepturilor fundamentale, opțiunea este de nivel mediu.</w:t>
      </w:r>
    </w:p>
    <w:p w14:paraId="5DC01055" w14:textId="35F152AD" w:rsidR="00275512" w:rsidRPr="00547125" w:rsidRDefault="00275512" w:rsidP="00275512">
      <w:pPr>
        <w:spacing w:after="240" w:line="240" w:lineRule="auto"/>
        <w:jc w:val="both"/>
        <w:rPr>
          <w:rFonts w:ascii="Times New Roman" w:hAnsi="Times New Roman" w:cs="Times New Roman"/>
          <w:b/>
          <w:bCs/>
          <w:noProof/>
          <w:sz w:val="24"/>
          <w:szCs w:val="24"/>
        </w:rPr>
      </w:pPr>
      <w:r>
        <w:rPr>
          <w:rFonts w:ascii="Times New Roman" w:hAnsi="Times New Roman"/>
          <w:b/>
          <w:noProof/>
          <w:sz w:val="24"/>
        </w:rPr>
        <w:t>Spectrul radio</w:t>
      </w:r>
    </w:p>
    <w:p w14:paraId="2C3F6286" w14:textId="77777777" w:rsidR="00275512" w:rsidRPr="006F011F" w:rsidRDefault="00275512" w:rsidP="00275512">
      <w:pPr>
        <w:spacing w:after="240" w:line="240" w:lineRule="auto"/>
        <w:jc w:val="both"/>
        <w:rPr>
          <w:rFonts w:ascii="Times New Roman" w:hAnsi="Times New Roman" w:cs="Times New Roman"/>
          <w:noProof/>
          <w:sz w:val="24"/>
          <w:szCs w:val="24"/>
        </w:rPr>
      </w:pPr>
      <w:r>
        <w:rPr>
          <w:rFonts w:ascii="Times New Roman" w:hAnsi="Times New Roman"/>
          <w:noProof/>
          <w:sz w:val="24"/>
        </w:rPr>
        <w:t>Opțiunea preferată implică, în principal, o durată de licență nelimitată în mod implicit, în condiții și cu garanții stricte și cu o durată limitată excepțională, combinată cu reînnoire cvasiautomată, precum și aplicarea unui model de licitație favorabil investițiilor. Aceasta prevede posibilitatea de a armoniza condițiile de autorizare a spectrului și include un control obligatoriu al spectrului în ceea ce privește procedurile de autorizare la nivelul UE. Opțiunea asigură o mai mare transparență și previzibilitate a calendarului disponibilității spectrului prin foi de parcurs și garantează că spectrul 6G va fi autorizat într-o perioadă mai scurtă de timp, mulțumită armonizării, și într-un mod mai coerent. Această opțiune este cea mai eficientă, având în vedere că beneficiile globale depășesc în mod semnificativ costurile. Aceasta ar asigura implementarea în timp util a rețelelor 5G de înaltă calitate și a viitoarelor rețele 6G. Opțiunea ar avea un impact pozitiv asupra PIB-ului, ar avea efecte de propagare asupra sectoarelor verticale și ar fi coerentă cu procesul de dezactivare a cuprului. Aceasta ar conduce la o amprentă ecologică redusă a rețelelor mobile 5G, datorită scăderii consumului de energie pe gigabyte legat de noile tehnologii mobile.</w:t>
      </w:r>
    </w:p>
    <w:p w14:paraId="16B379C3" w14:textId="77777777" w:rsidR="00275512" w:rsidRPr="00547125" w:rsidRDefault="00275512" w:rsidP="00275512">
      <w:pPr>
        <w:spacing w:after="240" w:line="240" w:lineRule="auto"/>
        <w:jc w:val="both"/>
        <w:rPr>
          <w:rFonts w:ascii="Times New Roman" w:hAnsi="Times New Roman" w:cs="Times New Roman"/>
          <w:b/>
          <w:bCs/>
          <w:noProof/>
          <w:sz w:val="24"/>
          <w:szCs w:val="24"/>
        </w:rPr>
      </w:pPr>
      <w:r>
        <w:rPr>
          <w:rFonts w:ascii="Times New Roman" w:hAnsi="Times New Roman"/>
          <w:b/>
          <w:noProof/>
          <w:sz w:val="24"/>
        </w:rPr>
        <w:t>Autorizație generală și autorizație pentru serviciile prin satelit</w:t>
      </w:r>
    </w:p>
    <w:p w14:paraId="7E52E176" w14:textId="77777777" w:rsidR="00275512" w:rsidRPr="006F011F" w:rsidRDefault="00275512" w:rsidP="00275512">
      <w:pPr>
        <w:spacing w:after="240" w:line="240" w:lineRule="auto"/>
        <w:jc w:val="both"/>
        <w:rPr>
          <w:rFonts w:ascii="Times New Roman" w:hAnsi="Times New Roman" w:cs="Times New Roman"/>
          <w:noProof/>
          <w:sz w:val="24"/>
          <w:szCs w:val="24"/>
        </w:rPr>
      </w:pPr>
      <w:r>
        <w:rPr>
          <w:rFonts w:ascii="Times New Roman" w:hAnsi="Times New Roman"/>
          <w:noProof/>
          <w:sz w:val="24"/>
        </w:rPr>
        <w:t>Opțiunea preferată include un regim unic de „pașaport” pentru alte rețele și servicii decât cele prin satelit și o autorizație la nivelul UE pentru spectrul de frecvențe prin satelit, inclusiv selectarea titularilor de licențe în caz de penurie și aplicarea condițiilor de autorizare. Această opțiune ar reduce costurile administrative și de asigurare a conformității, precum și costurile de raportare. Împreună cu condițiile armonizate de autorizare și cu alte norme aplicabile relevante, precum și cu măsurile fără caracter obligatoriu menite să faciliteze cooperarea ecosistemică, opțiunea preferată ar permite furnizorilor activi în mai multe state membre să centralizeze mai ușor operațiunile de rețea și să furnizeze servicii transfrontaliere inovatoare mai virtualizate și mai bazate pe software într-un mod mai consecvent. Autorizația la nivelul UE pentru sateliți ar permite operatorilor să aibă acces garantat la spectrul de frecvențe radio în toate statele membre în aceleași condiții de autorizare, oferindu-le mijloacele necesare pentru a se extinde și a furniza servicii paneuropene, ținând în același timp sub control aspectele legate de suveranitate.</w:t>
      </w:r>
    </w:p>
    <w:p w14:paraId="4CA071D7" w14:textId="77777777" w:rsidR="00275512" w:rsidRPr="00547125" w:rsidRDefault="00275512" w:rsidP="00275512">
      <w:pPr>
        <w:spacing w:after="240" w:line="240" w:lineRule="auto"/>
        <w:jc w:val="both"/>
        <w:rPr>
          <w:rFonts w:ascii="Times New Roman" w:hAnsi="Times New Roman" w:cs="Times New Roman"/>
          <w:b/>
          <w:bCs/>
          <w:noProof/>
          <w:sz w:val="24"/>
          <w:szCs w:val="24"/>
        </w:rPr>
      </w:pPr>
      <w:r>
        <w:rPr>
          <w:rFonts w:ascii="Times New Roman" w:hAnsi="Times New Roman"/>
          <w:b/>
          <w:noProof/>
          <w:sz w:val="24"/>
        </w:rPr>
        <w:t xml:space="preserve">Guvernanța </w:t>
      </w:r>
    </w:p>
    <w:p w14:paraId="423C1641" w14:textId="77777777" w:rsidR="00275512" w:rsidRDefault="00275512" w:rsidP="00275512">
      <w:pPr>
        <w:spacing w:after="240" w:line="240" w:lineRule="auto"/>
        <w:jc w:val="both"/>
        <w:rPr>
          <w:rFonts w:ascii="Times New Roman" w:hAnsi="Times New Roman" w:cs="Times New Roman"/>
          <w:b/>
          <w:bCs/>
          <w:noProof/>
          <w:sz w:val="24"/>
          <w:szCs w:val="24"/>
        </w:rPr>
      </w:pPr>
      <w:r>
        <w:rPr>
          <w:rFonts w:ascii="Times New Roman" w:hAnsi="Times New Roman"/>
          <w:noProof/>
          <w:sz w:val="24"/>
        </w:rPr>
        <w:t>Opțiunea preferată asigură continuitatea, aprofundând în același timp cooperarea și consolidând coordonarea la nivelul UE pentru a corespunde mai bine nevoilor pieței unice. Aceasta ajustează structura de guvernanță pentru a permite actorilor de la diferite niveluri de guvernanță – mergând de la nivel național, prin intermediul organismelor de cooperare la nivelul UE, până la nivelul Comisiei – să abordeze provocările legate de transformarea pieței și să finalizeze piața unică a comunicațiilor electronice. Opțiunea păstrează punctele forte ale sistemului actual, se bazează pe configurația existentă a OAREC și a Oficiului OAREC și transformă RSPG dintr-un grup de experți al Comisiei într-un organism cu un secretariat asigurat de un Oficiu OAREC consolidat, pentru a spori eficacitatea gestionării spectrului. Această opțiune este favorizată, de asemenea, de contribuțiile primite în urma consultării părților interesate. Prin furnizarea de servicii administrative și de sprijin atât pentru OAREC, cât și pentru RSPG, Oficiul OAREC va consolida legătura existentă între cele două organisme, permițând o mai bună coordonare și rezultate mai coerente.</w:t>
      </w:r>
    </w:p>
    <w:p w14:paraId="162E8A97" w14:textId="77777777" w:rsidR="00275512" w:rsidRPr="00116909" w:rsidRDefault="00275512" w:rsidP="00275512">
      <w:pPr>
        <w:spacing w:after="240" w:line="240" w:lineRule="auto"/>
        <w:jc w:val="both"/>
        <w:rPr>
          <w:rFonts w:ascii="Times New Roman" w:hAnsi="Times New Roman" w:cs="Times New Roman"/>
          <w:b/>
          <w:bCs/>
          <w:noProof/>
          <w:sz w:val="24"/>
          <w:szCs w:val="24"/>
        </w:rPr>
      </w:pPr>
      <w:r>
        <w:rPr>
          <w:rFonts w:ascii="Times New Roman" w:hAnsi="Times New Roman"/>
          <w:b/>
          <w:noProof/>
          <w:sz w:val="24"/>
        </w:rPr>
        <w:t>Costuri administrative</w:t>
      </w:r>
    </w:p>
    <w:p w14:paraId="778B27C8" w14:textId="6BE18515" w:rsidR="00B653EE" w:rsidRPr="00CC0667" w:rsidRDefault="00B653EE" w:rsidP="00B653EE">
      <w:pPr>
        <w:spacing w:after="240" w:line="240" w:lineRule="auto"/>
        <w:jc w:val="both"/>
        <w:rPr>
          <w:rFonts w:ascii="Times New Roman" w:hAnsi="Times New Roman" w:cs="Times New Roman"/>
          <w:noProof/>
          <w:sz w:val="24"/>
          <w:szCs w:val="24"/>
        </w:rPr>
      </w:pPr>
      <w:r>
        <w:rPr>
          <w:rFonts w:ascii="Times New Roman" w:hAnsi="Times New Roman"/>
          <w:noProof/>
          <w:sz w:val="24"/>
        </w:rPr>
        <w:t>Costurile administrative pentru întreprinderi sunt legate de renunțarea condiționată la rețelele de cupru, la care se adaugă reducerea costurilor de asigurare a conformității în domeniul autorizării. Se estimează că noile cerințe administrative vor genera costuri administrative unice de aproximativ 73 de milioane EUR și costuri administrative recurente de aproximativ 38 de milioane EUR pe an, comparativ cu statu-quo-ul. În același timp, se preconizează că opțiunea de politică preferată va genera economii de costuri administrative prin armonizarea condițiilor de autorizare și simplificarea cerințelor de reglementare. În cazul în care gestionarea finanțării guvernanței se modifică parțial la nivelul taxelor, acestea ar însemna costuri suplimentare pentru întreprinderile care furnizează comunicații electronice și/sau care au drepturi de utilizare a spectrului.</w:t>
      </w:r>
    </w:p>
    <w:p w14:paraId="450EB440" w14:textId="07E6B0BD" w:rsidR="00024D65" w:rsidRDefault="00024D65">
      <w:pPr>
        <w:rPr>
          <w:noProof/>
        </w:rPr>
      </w:pPr>
    </w:p>
    <w:sectPr w:rsidR="00024D65" w:rsidSect="00C17748">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DF41C" w14:textId="77777777" w:rsidR="00C17748" w:rsidRDefault="00C17748" w:rsidP="00C17748">
      <w:pPr>
        <w:spacing w:after="0" w:line="240" w:lineRule="auto"/>
      </w:pPr>
      <w:r>
        <w:separator/>
      </w:r>
    </w:p>
  </w:endnote>
  <w:endnote w:type="continuationSeparator" w:id="0">
    <w:p w14:paraId="49DB4634" w14:textId="77777777" w:rsidR="00C17748" w:rsidRDefault="00C17748" w:rsidP="00C17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D8CEE" w14:textId="0435FED9" w:rsidR="001027CF" w:rsidRPr="001027CF" w:rsidRDefault="001027CF" w:rsidP="001027CF">
    <w:pPr>
      <w:pStyle w:val="FooterCoverPage"/>
      <w:rPr>
        <w:rFonts w:ascii="Arial" w:hAnsi="Arial" w:cs="Arial"/>
        <w:b/>
        <w:sz w:val="48"/>
      </w:rPr>
    </w:pPr>
    <w:r w:rsidRPr="001027CF">
      <w:rPr>
        <w:rFonts w:ascii="Arial" w:hAnsi="Arial" w:cs="Arial"/>
        <w:b/>
        <w:sz w:val="48"/>
      </w:rPr>
      <w:t>RO</w:t>
    </w:r>
    <w:r w:rsidRPr="001027CF">
      <w:rPr>
        <w:rFonts w:ascii="Arial" w:hAnsi="Arial" w:cs="Arial"/>
        <w:b/>
        <w:sz w:val="48"/>
      </w:rPr>
      <w:tab/>
    </w:r>
    <w:r w:rsidRPr="001027CF">
      <w:rPr>
        <w:rFonts w:ascii="Arial" w:hAnsi="Arial" w:cs="Arial"/>
        <w:b/>
        <w:sz w:val="48"/>
      </w:rPr>
      <w:tab/>
    </w:r>
    <w:r w:rsidRPr="001027CF">
      <w:tab/>
    </w:r>
    <w:r w:rsidRPr="001027C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A4F4D" w14:textId="1B0C4CD5" w:rsidR="001027CF" w:rsidRPr="001027CF" w:rsidRDefault="001027CF" w:rsidP="001027CF">
    <w:pPr>
      <w:pStyle w:val="FooterCoverPage"/>
      <w:rPr>
        <w:rFonts w:ascii="Arial" w:hAnsi="Arial" w:cs="Arial"/>
        <w:b/>
        <w:sz w:val="48"/>
      </w:rPr>
    </w:pPr>
    <w:r w:rsidRPr="001027CF">
      <w:rPr>
        <w:rFonts w:ascii="Arial" w:hAnsi="Arial" w:cs="Arial"/>
        <w:b/>
        <w:sz w:val="48"/>
      </w:rPr>
      <w:t>RO</w:t>
    </w:r>
    <w:r w:rsidRPr="001027CF">
      <w:rPr>
        <w:rFonts w:ascii="Arial" w:hAnsi="Arial" w:cs="Arial"/>
        <w:b/>
        <w:sz w:val="48"/>
      </w:rPr>
      <w:tab/>
    </w:r>
    <w:r w:rsidRPr="001027CF">
      <w:rPr>
        <w:rFonts w:ascii="Arial" w:hAnsi="Arial" w:cs="Arial"/>
        <w:b/>
        <w:sz w:val="48"/>
      </w:rPr>
      <w:tab/>
    </w:r>
    <w:r w:rsidRPr="001027CF">
      <w:tab/>
    </w:r>
    <w:r w:rsidRPr="001027C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FEE83" w14:textId="77777777" w:rsidR="001027CF" w:rsidRPr="001027CF" w:rsidRDefault="001027CF" w:rsidP="001027C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62791" w14:textId="77777777" w:rsidR="00C17748" w:rsidRDefault="00C177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0144516"/>
      <w:docPartObj>
        <w:docPartGallery w:val="Page Numbers (Bottom of Page)"/>
        <w:docPartUnique/>
      </w:docPartObj>
    </w:sdtPr>
    <w:sdtEndPr>
      <w:rPr>
        <w:noProof/>
      </w:rPr>
    </w:sdtEndPr>
    <w:sdtContent>
      <w:p w14:paraId="672FD956" w14:textId="5ED741D3" w:rsidR="00275512" w:rsidRDefault="00275512">
        <w:pPr>
          <w:pStyle w:val="Footer"/>
          <w:jc w:val="center"/>
        </w:pPr>
        <w:r>
          <w:fldChar w:fldCharType="begin"/>
        </w:r>
        <w:r>
          <w:instrText xml:space="preserve"> PAGE   \* MERGEFORMAT </w:instrText>
        </w:r>
        <w:r>
          <w:fldChar w:fldCharType="separate"/>
        </w:r>
        <w:r w:rsidR="001027CF">
          <w:rPr>
            <w:noProof/>
          </w:rPr>
          <w:t>2</w:t>
        </w:r>
        <w:r>
          <w:fldChar w:fldCharType="end"/>
        </w:r>
      </w:p>
    </w:sdtContent>
  </w:sdt>
  <w:p w14:paraId="31A8F1B9" w14:textId="77777777" w:rsidR="00C17748" w:rsidRDefault="00C1774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968C5" w14:textId="77777777" w:rsidR="00C17748" w:rsidRDefault="00C177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F7B77" w14:textId="77777777" w:rsidR="00C17748" w:rsidRDefault="00C17748" w:rsidP="00C17748">
      <w:pPr>
        <w:spacing w:after="0" w:line="240" w:lineRule="auto"/>
      </w:pPr>
      <w:r>
        <w:separator/>
      </w:r>
    </w:p>
  </w:footnote>
  <w:footnote w:type="continuationSeparator" w:id="0">
    <w:p w14:paraId="0E8DAEE5" w14:textId="77777777" w:rsidR="00C17748" w:rsidRDefault="00C17748" w:rsidP="00C17748">
      <w:pPr>
        <w:spacing w:after="0" w:line="240" w:lineRule="auto"/>
      </w:pPr>
      <w:r>
        <w:continuationSeparator/>
      </w:r>
    </w:p>
  </w:footnote>
  <w:footnote w:id="1">
    <w:p w14:paraId="74688ECE" w14:textId="48082C31" w:rsidR="00275512" w:rsidRPr="00411279" w:rsidRDefault="00275512" w:rsidP="00275512">
      <w:pPr>
        <w:spacing w:after="0" w:line="240" w:lineRule="auto"/>
        <w:jc w:val="both"/>
        <w:rPr>
          <w:rFonts w:ascii="Times New Roman" w:hAnsi="Times New Roman" w:cs="Times New Roman"/>
          <w:sz w:val="20"/>
          <w:szCs w:val="20"/>
        </w:rPr>
      </w:pPr>
      <w:r>
        <w:rPr>
          <w:rStyle w:val="FootnoteReference"/>
          <w:rFonts w:eastAsiaTheme="minorEastAsia"/>
        </w:rPr>
        <w:footnoteRef/>
      </w:r>
      <w:r>
        <w:t xml:space="preserve"> </w:t>
      </w:r>
      <w:r>
        <w:rPr>
          <w:rFonts w:ascii="Times New Roman" w:hAnsi="Times New Roman"/>
          <w:sz w:val="20"/>
        </w:rPr>
        <w:t>Documentul de lucru al serviciilor Comisiei „Deceniul digital în 2025: progrese și perspective”, care însoțește documentul „Stadiul evoluției deceniului digital în 2025”</w:t>
      </w:r>
      <w:r>
        <w:t xml:space="preserve">, </w:t>
      </w:r>
      <w:hyperlink r:id="rId1" w:history="1">
        <w:r>
          <w:rPr>
            <w:rStyle w:val="Hyperlink"/>
            <w:rFonts w:ascii="Times New Roman" w:hAnsi="Times New Roman"/>
            <w:color w:val="auto"/>
            <w:sz w:val="20"/>
          </w:rPr>
          <w:t>https://digital-strategy.ec.europa.eu/en/library/digital-decade-2025-progress-and-outlook</w:t>
        </w:r>
      </w:hyperlink>
      <w:r w:rsidR="000E0E45">
        <w:t xml:space="preserve"> </w:t>
      </w:r>
      <w:r>
        <w:rPr>
          <w:rFonts w:ascii="Times New Roman" w:hAnsi="Times New Roman"/>
          <w:sz w:val="20"/>
        </w:rPr>
        <w:t xml:space="preserve"> </w:t>
      </w:r>
    </w:p>
  </w:footnote>
  <w:footnote w:id="2">
    <w:p w14:paraId="6A3B5976" w14:textId="77777777" w:rsidR="00275512" w:rsidRPr="00411279" w:rsidRDefault="00275512" w:rsidP="00275512">
      <w:pPr>
        <w:spacing w:after="0" w:line="240" w:lineRule="auto"/>
        <w:jc w:val="both"/>
        <w:rPr>
          <w:rFonts w:ascii="Times New Roman" w:eastAsia="Times New Roman" w:hAnsi="Times New Roman" w:cs="Times New Roman"/>
          <w:sz w:val="20"/>
          <w:szCs w:val="20"/>
        </w:rPr>
      </w:pPr>
      <w:r>
        <w:rPr>
          <w:rStyle w:val="FootnoteReference"/>
          <w:rFonts w:eastAsiaTheme="minorEastAsia"/>
        </w:rPr>
        <w:footnoteRef/>
      </w:r>
      <w:r>
        <w:rPr>
          <w:rFonts w:ascii="Times New Roman" w:hAnsi="Times New Roman"/>
          <w:sz w:val="20"/>
        </w:rPr>
        <w:t xml:space="preserve"> Analysys Mason, 2024, anexa 7.2, figura acoperire 5G SA.</w:t>
      </w:r>
    </w:p>
  </w:footnote>
  <w:footnote w:id="3">
    <w:p w14:paraId="01E401FA" w14:textId="77777777" w:rsidR="00275512" w:rsidRPr="00411279" w:rsidRDefault="00275512" w:rsidP="00275512">
      <w:pPr>
        <w:pStyle w:val="FootnoteText"/>
      </w:pPr>
      <w:r>
        <w:rPr>
          <w:rStyle w:val="FootnoteReference"/>
        </w:rPr>
        <w:footnoteRef/>
      </w:r>
      <w:r>
        <w:t xml:space="preserve"> Anexa 8.2 </w:t>
      </w:r>
      <w:r>
        <w:rPr>
          <w:i/>
          <w:iCs/>
        </w:rPr>
        <w:t>MedUX data on Status of 5G Quality and experience in EU</w:t>
      </w:r>
      <w:r>
        <w:t xml:space="preserve"> (Date MedUX privind statutul calității și experienței 5G în UE) și Ookla. Omdia. </w:t>
      </w:r>
      <w:hyperlink r:id="rId2" w:history="1">
        <w:r>
          <w:rPr>
            <w:rStyle w:val="Hyperlink"/>
            <w:i/>
            <w:iCs/>
            <w:color w:val="auto"/>
          </w:rPr>
          <w:t>A Global Evaluation of Europe’s Digital Competitiveness in 5G Standalone</w:t>
        </w:r>
      </w:hyperlink>
      <w:r>
        <w:t xml:space="preserve"> (O evaluare globală a competitivității digitale a Europei în ceea ce privește rețelele 5G autonome), 2025. </w:t>
      </w:r>
    </w:p>
  </w:footnote>
  <w:footnote w:id="4">
    <w:p w14:paraId="232C7BD6" w14:textId="77777777" w:rsidR="00275512" w:rsidRPr="00411279" w:rsidRDefault="00275512" w:rsidP="00275512">
      <w:pPr>
        <w:pStyle w:val="FootnoteText"/>
      </w:pPr>
      <w:r>
        <w:rPr>
          <w:rStyle w:val="FootnoteReference"/>
        </w:rPr>
        <w:footnoteRef/>
      </w:r>
      <w:r>
        <w:t xml:space="preserve"> Analysys Mason (2024). </w:t>
      </w:r>
      <w:r>
        <w:rPr>
          <w:i/>
          <w:iCs/>
        </w:rPr>
        <w:t>5G Global Progress Report</w:t>
      </w:r>
      <w:r>
        <w:t xml:space="preserve"> (Raportul privind progresele înregistrate în ceea ce privește tehnologia 5G la nivel mondial); OpenSignal (2024). </w:t>
      </w:r>
      <w:r>
        <w:rPr>
          <w:i/>
          <w:iCs/>
        </w:rPr>
        <w:t>5G Experience Report</w:t>
      </w:r>
      <w:r>
        <w:t xml:space="preserve"> (Raportul privind experiența în domeniul 5G), T4. </w:t>
      </w:r>
    </w:p>
  </w:footnote>
  <w:footnote w:id="5">
    <w:p w14:paraId="7C977411" w14:textId="77777777" w:rsidR="00275512" w:rsidRPr="00411279" w:rsidRDefault="00275512" w:rsidP="00275512">
      <w:pPr>
        <w:spacing w:after="0" w:line="240" w:lineRule="auto"/>
        <w:jc w:val="both"/>
        <w:rPr>
          <w:rFonts w:ascii="Times New Roman" w:eastAsia="Calibri" w:hAnsi="Times New Roman" w:cs="Times New Roman"/>
          <w:sz w:val="20"/>
          <w:szCs w:val="20"/>
        </w:rPr>
      </w:pPr>
      <w:r>
        <w:rPr>
          <w:rStyle w:val="FootnoteReference"/>
          <w:rFonts w:eastAsiaTheme="minorEastAsia"/>
        </w:rPr>
        <w:footnoteRef/>
      </w:r>
      <w:r>
        <w:t xml:space="preserve"> </w:t>
      </w:r>
      <w:r>
        <w:rPr>
          <w:rFonts w:ascii="Times New Roman" w:hAnsi="Times New Roman"/>
          <w:sz w:val="20"/>
        </w:rPr>
        <w:t>Transformarea tehnologică în curs a ecosistemului de conectivitate a fost descrisă în detaliu în cadrul pilonului I al Cărții albe a Comisiei din 2024 intitulate „Cum se pot gestiona nevoile Europei în materie de infrastructură digitală?”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6C95E" w14:textId="77777777" w:rsidR="001027CF" w:rsidRPr="001027CF" w:rsidRDefault="001027CF" w:rsidP="001027C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1098A" w14:textId="77777777" w:rsidR="001027CF" w:rsidRPr="001027CF" w:rsidRDefault="001027CF" w:rsidP="001027C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6A649" w14:textId="77777777" w:rsidR="001027CF" w:rsidRPr="001027CF" w:rsidRDefault="001027CF" w:rsidP="001027C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3BEA5" w14:textId="77777777" w:rsidR="00C17748" w:rsidRDefault="00C177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099E6" w14:textId="77777777" w:rsidR="00C17748" w:rsidRDefault="00C177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FCB5E" w14:textId="77777777" w:rsidR="00C17748" w:rsidRDefault="00C177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care înso\u355?e\u351?te documentul"/>
    <w:docVar w:name="LW_CORRIGENDUM" w:val="&lt;UNUSED&gt;"/>
    <w:docVar w:name="LW_COVERPAGE_EXISTS" w:val="True"/>
    <w:docVar w:name="LW_COVERPAGE_GUID" w:val="830E7E3E-876E-4085-A294-C766B54DBD71"/>
    <w:docVar w:name="LW_COVERPAGE_TYPE" w:val="1"/>
    <w:docVar w:name="LW_CROSSREFERENCE" w:val="{COM(2026) 16 final} - {SEC(2026) 14 final} - {SWD(2026) 13 final}"/>
    <w:docVar w:name="LW_DocType" w:val="NORMAL"/>
    <w:docVar w:name="LW_EMISSION" w:val="21.1.2026"/>
    <w:docVar w:name="LW_EMISSION_ISODATE" w:val="2026-01-21"/>
    <w:docVar w:name="LW_EMISSION_LOCATION" w:val="BRX"/>
    <w:docVar w:name="LW_EMISSION_PREFIX" w:val="Bruxelles, "/>
    <w:docVar w:name="LW_EMISSION_SUFFIX" w:val=" "/>
    <w:docVar w:name="LW_ID_DOCTYPE_NONLW" w:val="CP-027"/>
    <w:docVar w:name="LW_LANGUE" w:val="RO"/>
    <w:docVar w:name="LW_LEVEL_OF_SENSITIVITY" w:val="Standard treatment"/>
    <w:docVar w:name="LW_NOM.INST" w:val="COMISIA EUROPEAN\u258?"/>
    <w:docVar w:name="LW_NOM.INST_JOINTDOC" w:val="&lt;EMPTY&gt;"/>
    <w:docVar w:name="LW_OBJETACTEPRINCIPAL.CP" w:val="privind re\u539?elele digitale"/>
    <w:docVar w:name="LW_PART_NBR" w:val="1"/>
    <w:docVar w:name="LW_PART_NBR_TOTAL" w:val="1"/>
    <w:docVar w:name="LW_REF.INST.NEW" w:val="SWD"/>
    <w:docVar w:name="LW_REF.INST.NEW_ADOPTED" w:val="final"/>
    <w:docVar w:name="LW_REF.INST.NEW_TEXT" w:val="(2026) 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DOCUMENT DE LUCRU AL SERVICIILOR COMISIEI_x000b__x000b_REZUMAT AL RAPORTULUI PRIVIND EVALUAREA IMPACTULUI_x000b_"/>
    <w:docVar w:name="LW_TYPEACTEPRINCIPAL.CP" w:val="Propunere de _x000b_REGULAMENT AL PARLAMENTULUI EUROPEAN \u536?I AL CONSILIULUI"/>
    <w:docVar w:name="LwApiVersions" w:val="LW4CoDe 1.24.5.0; LW 9.2, Build 20251112"/>
  </w:docVars>
  <w:rsids>
    <w:rsidRoot w:val="00C17748"/>
    <w:rsid w:val="00024D65"/>
    <w:rsid w:val="000770EC"/>
    <w:rsid w:val="000863A9"/>
    <w:rsid w:val="000B2E55"/>
    <w:rsid w:val="000E0E45"/>
    <w:rsid w:val="001027CF"/>
    <w:rsid w:val="0016635E"/>
    <w:rsid w:val="001C6A64"/>
    <w:rsid w:val="001D4623"/>
    <w:rsid w:val="001F3C80"/>
    <w:rsid w:val="00264F31"/>
    <w:rsid w:val="00275512"/>
    <w:rsid w:val="00321794"/>
    <w:rsid w:val="00332309"/>
    <w:rsid w:val="003A1264"/>
    <w:rsid w:val="00421121"/>
    <w:rsid w:val="00435726"/>
    <w:rsid w:val="00441AA7"/>
    <w:rsid w:val="00462638"/>
    <w:rsid w:val="004C79E8"/>
    <w:rsid w:val="004D288E"/>
    <w:rsid w:val="004D4FAB"/>
    <w:rsid w:val="004E3FBC"/>
    <w:rsid w:val="00545A66"/>
    <w:rsid w:val="005511D5"/>
    <w:rsid w:val="005D6671"/>
    <w:rsid w:val="006537C4"/>
    <w:rsid w:val="0073360B"/>
    <w:rsid w:val="00733A3D"/>
    <w:rsid w:val="00780F41"/>
    <w:rsid w:val="00796D5E"/>
    <w:rsid w:val="00801A30"/>
    <w:rsid w:val="00823448"/>
    <w:rsid w:val="008437F6"/>
    <w:rsid w:val="00845A0F"/>
    <w:rsid w:val="008569B5"/>
    <w:rsid w:val="00857F47"/>
    <w:rsid w:val="00934AC1"/>
    <w:rsid w:val="00974691"/>
    <w:rsid w:val="009806AE"/>
    <w:rsid w:val="00A21D16"/>
    <w:rsid w:val="00A3719C"/>
    <w:rsid w:val="00B47564"/>
    <w:rsid w:val="00B653EE"/>
    <w:rsid w:val="00B672CD"/>
    <w:rsid w:val="00B92C37"/>
    <w:rsid w:val="00BC6F43"/>
    <w:rsid w:val="00BE5CAF"/>
    <w:rsid w:val="00BF12DB"/>
    <w:rsid w:val="00BF6E88"/>
    <w:rsid w:val="00C17748"/>
    <w:rsid w:val="00C913A2"/>
    <w:rsid w:val="00D2386A"/>
    <w:rsid w:val="00D27111"/>
    <w:rsid w:val="00D303E2"/>
    <w:rsid w:val="00D8623E"/>
    <w:rsid w:val="00DD69BD"/>
    <w:rsid w:val="00E967C5"/>
    <w:rsid w:val="00EB02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61893B0"/>
  <w15:chartTrackingRefBased/>
  <w15:docId w15:val="{B893C2D2-7748-4025-95DB-F2A036B5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1774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1774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17748"/>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17748"/>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17748"/>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177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77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77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77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748"/>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1774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17748"/>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17748"/>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17748"/>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177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77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77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7748"/>
    <w:rPr>
      <w:rFonts w:eastAsiaTheme="majorEastAsia" w:cstheme="majorBidi"/>
      <w:color w:val="272727" w:themeColor="text1" w:themeTint="D8"/>
    </w:rPr>
  </w:style>
  <w:style w:type="paragraph" w:styleId="Title">
    <w:name w:val="Title"/>
    <w:basedOn w:val="Normal"/>
    <w:next w:val="Normal"/>
    <w:link w:val="TitleChar"/>
    <w:uiPriority w:val="10"/>
    <w:qFormat/>
    <w:rsid w:val="00C177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77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774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77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774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7748"/>
    <w:rPr>
      <w:i/>
      <w:iCs/>
      <w:color w:val="404040" w:themeColor="text1" w:themeTint="BF"/>
    </w:rPr>
  </w:style>
  <w:style w:type="paragraph" w:styleId="ListParagraph">
    <w:name w:val="List Paragraph"/>
    <w:basedOn w:val="Normal"/>
    <w:uiPriority w:val="34"/>
    <w:qFormat/>
    <w:rsid w:val="00C17748"/>
    <w:pPr>
      <w:ind w:left="720"/>
      <w:contextualSpacing/>
    </w:pPr>
  </w:style>
  <w:style w:type="character" w:styleId="IntenseEmphasis">
    <w:name w:val="Intense Emphasis"/>
    <w:basedOn w:val="DefaultParagraphFont"/>
    <w:uiPriority w:val="21"/>
    <w:qFormat/>
    <w:rsid w:val="00C17748"/>
    <w:rPr>
      <w:i/>
      <w:iCs/>
      <w:color w:val="365F91" w:themeColor="accent1" w:themeShade="BF"/>
    </w:rPr>
  </w:style>
  <w:style w:type="paragraph" w:styleId="IntenseQuote">
    <w:name w:val="Intense Quote"/>
    <w:basedOn w:val="Normal"/>
    <w:next w:val="Normal"/>
    <w:link w:val="IntenseQuoteChar"/>
    <w:uiPriority w:val="30"/>
    <w:qFormat/>
    <w:rsid w:val="00C1774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17748"/>
    <w:rPr>
      <w:i/>
      <w:iCs/>
      <w:color w:val="365F91" w:themeColor="accent1" w:themeShade="BF"/>
    </w:rPr>
  </w:style>
  <w:style w:type="character" w:styleId="IntenseReference">
    <w:name w:val="Intense Reference"/>
    <w:basedOn w:val="DefaultParagraphFont"/>
    <w:uiPriority w:val="32"/>
    <w:qFormat/>
    <w:rsid w:val="00C17748"/>
    <w:rPr>
      <w:b/>
      <w:bCs/>
      <w:smallCaps/>
      <w:color w:val="365F91" w:themeColor="accent1" w:themeShade="BF"/>
      <w:spacing w:val="5"/>
    </w:rPr>
  </w:style>
  <w:style w:type="character" w:customStyle="1" w:styleId="Marker">
    <w:name w:val="Marker"/>
    <w:basedOn w:val="DefaultParagraphFont"/>
    <w:rsid w:val="00C17748"/>
    <w:rPr>
      <w:color w:val="0000FF"/>
      <w:shd w:val="clear" w:color="auto" w:fill="auto"/>
    </w:rPr>
  </w:style>
  <w:style w:type="paragraph" w:styleId="Header">
    <w:name w:val="header"/>
    <w:basedOn w:val="Normal"/>
    <w:link w:val="HeaderChar"/>
    <w:uiPriority w:val="99"/>
    <w:unhideWhenUsed/>
    <w:rsid w:val="00C177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7748"/>
  </w:style>
  <w:style w:type="paragraph" w:styleId="Footer">
    <w:name w:val="footer"/>
    <w:basedOn w:val="Normal"/>
    <w:link w:val="FooterChar"/>
    <w:uiPriority w:val="99"/>
    <w:unhideWhenUsed/>
    <w:rsid w:val="00C177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7748"/>
  </w:style>
  <w:style w:type="paragraph" w:customStyle="1" w:styleId="Pagedecouverture">
    <w:name w:val="Page de couverture"/>
    <w:basedOn w:val="Normal"/>
    <w:next w:val="Normal"/>
    <w:rsid w:val="00C17748"/>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1774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17748"/>
    <w:rPr>
      <w:rFonts w:ascii="Times New Roman" w:hAnsi="Times New Roman" w:cs="Times New Roman"/>
      <w:sz w:val="24"/>
    </w:rPr>
  </w:style>
  <w:style w:type="paragraph" w:customStyle="1" w:styleId="FooterSensitivity">
    <w:name w:val="Footer Sensitivity"/>
    <w:basedOn w:val="Normal"/>
    <w:link w:val="FooterSensitivityChar"/>
    <w:rsid w:val="00C1774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17748"/>
    <w:rPr>
      <w:rFonts w:ascii="Times New Roman" w:hAnsi="Times New Roman" w:cs="Times New Roman"/>
      <w:b/>
      <w:sz w:val="32"/>
    </w:rPr>
  </w:style>
  <w:style w:type="paragraph" w:customStyle="1" w:styleId="HeaderCoverPage">
    <w:name w:val="Header Cover Page"/>
    <w:basedOn w:val="Normal"/>
    <w:link w:val="HeaderCoverPageChar"/>
    <w:rsid w:val="00C1774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17748"/>
    <w:rPr>
      <w:rFonts w:ascii="Times New Roman" w:hAnsi="Times New Roman" w:cs="Times New Roman"/>
      <w:sz w:val="24"/>
    </w:rPr>
  </w:style>
  <w:style w:type="paragraph" w:customStyle="1" w:styleId="HeaderSensitivity">
    <w:name w:val="Header Sensitivity"/>
    <w:basedOn w:val="Normal"/>
    <w:link w:val="HeaderSensitivityChar"/>
    <w:rsid w:val="00C1774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17748"/>
    <w:rPr>
      <w:rFonts w:ascii="Times New Roman" w:hAnsi="Times New Roman" w:cs="Times New Roman"/>
      <w:b/>
      <w:sz w:val="32"/>
    </w:rPr>
  </w:style>
  <w:style w:type="paragraph" w:customStyle="1" w:styleId="HeaderSensitivityRight">
    <w:name w:val="Header Sensitivity Right"/>
    <w:basedOn w:val="Normal"/>
    <w:link w:val="HeaderSensitivityRightChar"/>
    <w:rsid w:val="00C1774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17748"/>
    <w:rPr>
      <w:rFonts w:ascii="Times New Roman" w:hAnsi="Times New Roman" w:cs="Times New Roman"/>
      <w:sz w:val="28"/>
    </w:rPr>
  </w:style>
  <w:style w:type="character" w:styleId="Hyperlink">
    <w:name w:val="Hyperlink"/>
    <w:basedOn w:val="DefaultParagraphFont"/>
    <w:uiPriority w:val="99"/>
    <w:unhideWhenUsed/>
    <w:rsid w:val="00275512"/>
    <w:rPr>
      <w:color w:val="0000FF" w:themeColor="hyperlink"/>
      <w:u w:val="single"/>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T,f,SD Footnote Tex"/>
    <w:basedOn w:val="Normal"/>
    <w:link w:val="FootnoteTextChar"/>
    <w:uiPriority w:val="99"/>
    <w:unhideWhenUsed/>
    <w:qFormat/>
    <w:rsid w:val="00275512"/>
    <w:pPr>
      <w:spacing w:after="0" w:line="240" w:lineRule="auto"/>
      <w:jc w:val="both"/>
    </w:pPr>
    <w:rPr>
      <w:rFonts w:ascii="Times New Roman" w:eastAsiaTheme="minorEastAsia"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275512"/>
    <w:rPr>
      <w:rFonts w:ascii="Times New Roman" w:eastAsiaTheme="minorEastAsia" w:hAnsi="Times New Roman" w:cs="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fr,o,Footnot"/>
    <w:basedOn w:val="DefaultParagraphFont"/>
    <w:link w:val="CharCharChar1"/>
    <w:uiPriority w:val="99"/>
    <w:unhideWhenUsed/>
    <w:qFormat/>
    <w:rsid w:val="00275512"/>
    <w:rPr>
      <w:vertAlign w:val="superscript"/>
    </w:rPr>
  </w:style>
  <w:style w:type="paragraph" w:customStyle="1" w:styleId="CharCharChar1">
    <w:name w:val="Char Char Char1"/>
    <w:basedOn w:val="Normal"/>
    <w:link w:val="FootnoteReference"/>
    <w:uiPriority w:val="99"/>
    <w:rsid w:val="00275512"/>
    <w:pPr>
      <w:spacing w:after="160"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ookla.com/articles/europe-5gsa-2025" TargetMode="External"/><Relationship Id="rId1" Type="http://schemas.openxmlformats.org/officeDocument/2006/relationships/hyperlink" Target="https://digital-strategy.ec.europa.eu/en/library/digital-decade-2025-progress-and-outl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E07BA-6B13-48E7-8D72-F901C4ACF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3179</Words>
  <Characters>18126</Characters>
  <Application>Microsoft Office Word</Application>
  <DocSecurity>0</DocSecurity>
  <Lines>151</Lines>
  <Paragraphs>42</Paragraphs>
  <ScaleCrop>false</ScaleCrop>
  <Manager/>
  <Company/>
  <LinksUpToDate>false</LinksUpToDate>
  <CharactersWithSpaces>21263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2025-12-22T08:39:00Z</dcterms:created>
  <dcterms:modified xsi:type="dcterms:W3CDTF">2026-04-20T13:26:00Z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2025-12-22T08:41:46Z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3e635268-8112-43bd-8fdf-95924a4547b9</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